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709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Тест-опросник самоотношения (В.В. Столин, С.Р. Пантелеев).</w:t>
      </w:r>
    </w:p>
    <w:p>
      <w:pPr>
        <w:pStyle w:val="Normal"/>
        <w:spacing w:lineRule="auto" w:line="240" w:before="0" w:after="0"/>
        <w:ind w:left="-709" w:hanging="0"/>
        <w:jc w:val="left"/>
        <w:rPr>
          <w:b/>
          <w:b/>
          <w:bCs/>
          <w:i w:val="false"/>
          <w:i w:val="false"/>
          <w:caps w:val="false"/>
          <w:smallCaps w:val="false"/>
          <w:spacing w:val="0"/>
        </w:rPr>
      </w:pPr>
      <w:r>
        <w:rPr>
          <w:b/>
          <w:bCs/>
          <w:i w:val="false"/>
          <w:caps w:val="false"/>
          <w:smallCaps w:val="false"/>
          <w:spacing w:val="0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Стимульный материал</w:t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i w:val="false"/>
          <w:caps w:val="false"/>
          <w:smallCaps w:val="false"/>
          <w:spacing w:val="0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b/>
          <w:b/>
          <w:bCs/>
        </w:rPr>
      </w:pPr>
      <w:r>
        <w:rPr>
          <w:rFonts w:eastAsia="Calibri" w:cs="Calibr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Текст опросника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1. Думаю, что большинство моих знакомых относится ко мне с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симпатией.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2. Мои слова не так уж часто расходятся с делом.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3. Думаю, что многие видят во мне что-то сходное с собой.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4. Когда я пытаюсь себя оценить, я прежде всего вижу свои недостатки.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5. Думаю, что как личность я вполне могу быть притягательным для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других.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6. Когда я вижу себя глазами любящего меня человека, меня неприятно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поражает то, насколько мой образ далек от действительности.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7. Мое "Я" всегда мне интересно.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8. Я считаю, что иногда не грех пожалеть самого себя.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9. В моей жизни есть или, по крайней мере, были люди с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которыми я был чрезвычайно близок.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10. Собственное уважение мне еще надо заслужить.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11. Бывало, и не раз, что я сам себя остро ненавидел;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12. Я вполне доверяю своим внезапно возникшим желаниям.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13. Я сам хотел во многом себя переделать.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14. Мое собственное "Я" не представляется мне чем-то достойным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глубокого внимания.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15. Я искренне хочу, чтобы у меня было все хорошо в жизни.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16. Если я и отношусь к кому-нибудь с укоризной, то прежде всего к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самому себе.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17. Случайному знакомому я скорее всего покажусь человеком приятным.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18. Чаще всего я одобряю свои планы и поступки.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19. Собственные слабости вызывают у меня что-то наподобие презрения.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20. Если бы я раздвоился, то мне было бы довольно интересно общаться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со своим двойником.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21. Некоторые свои качества я ощущаю как посторонние, чужие мне.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22. Вряд ли кто-либо сможет почувствовать свое сходство со мной.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23. У меня достаточно способностей и энергии воплотить в жизнь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задуманное.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24. Часто я не без издевки подшучиваю над собой.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25. Самое разумное, что может сделать человек в своей жизни – это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подчиниться собственной судьбе.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26. Посторонний человек, на первый взгляд, найдет во мне много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отталкивающего.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27. К сожалению, если я и сказал что-то, это не значит, что именно так и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буду поступать.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28. Свое отношение к самому себе можно назвать дружеским;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29. Быть снисходительным к собственным слабостям вполне естественно.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30. У меня не получается быть для любимого человека интересным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длительное время.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31. В глубине души я бы хотел, чтобы со мной произошло что-то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катастрофическое.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32. Вряд ли я вызываю симпатию у большинства моих знакомых.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33. Мне бывает очень приятно увидеть себя глазами любящего меня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человека.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34. Когда у меня возникает какое-либо желание, я прежде всего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спрашиваю о себя, разумно ли это.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35. Иногда мне кажется, что если бы какой-то мудрый человек смог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увидеть меня насквозь, он бы тут же понял, какое я ничтожество.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36. Временами я сам собой восхищаюсь.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37. Можно сказать, что я ценю себя достаточно высоко.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38. В глубине души я никак не могу поверить, что я действительно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взрослый человек.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39. Без посторонней помощи я мало что могу сделать.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40. Иногда я сам себя плохо понимаю.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41. Мне очень мешает недостаток энергии, воли и целеустремленности.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42. Думаю, что другие в целом оценивают меня достаточно высоко.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43. В моей личности есть, наверное, что-то такое, что способно вызывать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у других неприязнь.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44. Большинство моих знакомых не принимают меня уж так всерьез.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45. Сам у себя я довольно часто вызываю чувство раздражения.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46. Я вполне могу сказать, что унижаю себя сам.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47. Даже мои негативные черты не кажутся мне чужими.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48. В целом, меня устраивает то, какой я есть.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49. Вряд ли меня можно любить по-настоящему.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50. Моим мечтам и планам не хватает реалистичности.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51. Если бы мое второе "Я" существовало, то для меня это был бы самый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скучный партнер по общению.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52. Думаю, что мог бы найти общий язык с любым разумным и знающим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человеком.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53. То, что во мне происходит, как правило, мне понятно.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54. Мои достоинства вполне перевешивают мои недостатки.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55. Вряд ли найдется много людей, которые обвинят меня в отсутствии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совести.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56. Когда со мной случаются неприятности, как правило, я говорю: "И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поделом тебе".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57. Я могу сказать, что в целом я контролирую свою судьбу.</w:t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/>
      </w:r>
    </w:p>
    <w:p>
      <w:pPr>
        <w:pStyle w:val="Normal"/>
        <w:spacing w:lineRule="auto" w:line="240" w:before="0" w:after="0"/>
        <w:ind w:left="-709" w:hanging="0"/>
        <w:jc w:val="center"/>
        <w:rPr>
          <w:rFonts w:ascii="Times New Roman" w:hAnsi="Times New Roman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  <w:t>Таблицы Перевода «Сырого Балла» В Накопленные Частоты (%)</w:t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10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S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74,33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85,00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5.33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88,00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90,67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93,33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13,00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96,00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96,67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21,33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26,67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98,33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32,33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98,67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38,33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49,00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55,33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62,67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69,33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I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II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21,67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25,33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28,00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34,00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37,33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44,67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58,67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58,33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71,33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80,00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77,33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86,67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86,00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91,33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90,67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93,67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96,67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99,67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98,33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99,67</w:t>
            </w:r>
          </w:p>
        </w:tc>
      </w:tr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III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IV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29,00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71,33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17,67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92,33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27,33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39,67</w:t>
            </w:r>
          </w:p>
        </w:tc>
        <w:tc>
          <w:tcPr>
            <w:tcW w:w="50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53,00</w:t>
            </w:r>
          </w:p>
        </w:tc>
        <w:tc>
          <w:tcPr>
            <w:tcW w:w="506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72,33</w:t>
            </w:r>
          </w:p>
        </w:tc>
        <w:tc>
          <w:tcPr>
            <w:tcW w:w="506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91,33</w:t>
            </w:r>
          </w:p>
        </w:tc>
        <w:tc>
          <w:tcPr>
            <w:tcW w:w="506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506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1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2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3,77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29,33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49,67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65,67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32,00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81,33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51,33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92,33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3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4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16,67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25,67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34,33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38,33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50,67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60,33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70,67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79,67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89,67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92,00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1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4"/>
        <w:gridCol w:w="2535"/>
        <w:gridCol w:w="2535"/>
        <w:gridCol w:w="2534"/>
      </w:tblGrid>
      <w:tr>
        <w:trPr/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5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6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11,33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27,67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43,33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34,33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60,77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54,67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81,67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96,67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50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tbl>
      <w:tblPr>
        <w:tblW w:w="102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65"/>
        <w:gridCol w:w="5104"/>
      </w:tblGrid>
      <w:tr>
        <w:trPr/>
        <w:tc>
          <w:tcPr>
            <w:tcW w:w="102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ФАКТОР 7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Сырой балл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Накопленные частоты (%)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4,33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21,33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43,33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68,67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83,67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94,00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99,33</w:t>
            </w:r>
          </w:p>
        </w:tc>
      </w:tr>
      <w:tr>
        <w:trPr/>
        <w:tc>
          <w:tcPr>
            <w:tcW w:w="5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left="-709" w:hanging="0"/>
        <w:jc w:val="left"/>
        <w:rPr>
          <w:rFonts w:ascii="Times New Roman" w:hAnsi="Times New Roman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sectPr>
      <w:type w:val="nextPage"/>
      <w:pgSz w:w="11906" w:h="16838"/>
      <w:pgMar w:left="1134" w:right="567" w:header="0" w:top="851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8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f965c6"/>
    <w:rPr>
      <w:rFonts w:ascii="Tahoma" w:hAnsi="Tahoma" w:cs="Tahoma"/>
      <w:sz w:val="16"/>
      <w:szCs w:val="16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</w:rPr>
  </w:style>
  <w:style w:type="character" w:styleId="Style10" w:customStyle="1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Title"/>
    <w:basedOn w:val="Normal"/>
    <w:next w:val="Style12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f965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Application>LibreOffice/7.0.1.2$Linux_X86_64 LibreOffice_project/7cbcfc562f6eb6708b5ff7d7397325de9e764452</Application>
  <Pages>7</Pages>
  <Words>1029</Words>
  <Characters>4675</Characters>
  <CharactersWithSpaces>5292</CharactersWithSpaces>
  <Paragraphs>413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2018-06-19T10:35:00Z</dcterms:created>
  <dc:creator/>
  <dc:description/>
  <dc:language>ru-RU</dc:language>
  <cp:lastModifiedBy/>
  <dcterms:modified xsi:type="dcterms:W3CDTF">2020-09-14T10:00:39Z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